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8D194">
      <w:pPr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738755" cy="843915"/>
            <wp:effectExtent l="0" t="0" r="4445" b="13335"/>
            <wp:docPr id="1" name="图片 1" descr="横向中英文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横向中英文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8755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5BAA7">
      <w:pPr>
        <w:jc w:val="center"/>
      </w:pPr>
    </w:p>
    <w:p w14:paraId="2E97247F">
      <w:pPr>
        <w:jc w:val="center"/>
      </w:pPr>
    </w:p>
    <w:p w14:paraId="63725CB3">
      <w:pPr>
        <w:jc w:val="center"/>
        <w:rPr>
          <w:rFonts w:ascii="方正大黑简体" w:eastAsia="方正大黑简体"/>
          <w:spacing w:val="-20"/>
          <w:w w:val="85"/>
          <w:kern w:val="0"/>
          <w:sz w:val="52"/>
          <w:szCs w:val="52"/>
        </w:rPr>
      </w:pPr>
    </w:p>
    <w:p w14:paraId="0E263124">
      <w:pPr>
        <w:spacing w:line="1100" w:lineRule="exact"/>
        <w:jc w:val="center"/>
        <w:rPr>
          <w:rFonts w:ascii="方正大黑简体" w:eastAsia="方正大黑简体"/>
          <w:spacing w:val="-20"/>
          <w:kern w:val="0"/>
          <w:sz w:val="52"/>
          <w:szCs w:val="52"/>
        </w:rPr>
      </w:pPr>
      <w:r>
        <w:rPr>
          <w:rFonts w:hint="eastAsia" w:ascii="方正大黑简体" w:eastAsia="方正大黑简体"/>
          <w:spacing w:val="-20"/>
          <w:kern w:val="0"/>
          <w:sz w:val="52"/>
          <w:szCs w:val="52"/>
          <w:lang w:val="en-US" w:eastAsia="zh-CN"/>
        </w:rPr>
        <w:t>课程评估</w:t>
      </w:r>
      <w:r>
        <w:rPr>
          <w:rFonts w:hint="eastAsia" w:ascii="方正大黑简体" w:eastAsia="方正大黑简体"/>
          <w:spacing w:val="-20"/>
          <w:kern w:val="0"/>
          <w:sz w:val="52"/>
          <w:szCs w:val="52"/>
        </w:rPr>
        <w:t>自评报告</w:t>
      </w:r>
    </w:p>
    <w:p w14:paraId="25A83289"/>
    <w:p w14:paraId="7EF4162F"/>
    <w:p w14:paraId="65F9FA29"/>
    <w:p w14:paraId="76A3FCB2"/>
    <w:p w14:paraId="3D242F72"/>
    <w:p w14:paraId="1052DBF0"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课程名称：</w:t>
      </w:r>
    </w:p>
    <w:p w14:paraId="41C521C1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二级学院（公章）：</w:t>
      </w:r>
    </w:p>
    <w:p w14:paraId="5B5598B7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所属专业：</w:t>
      </w:r>
    </w:p>
    <w:p w14:paraId="1963B704">
      <w:pPr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课程负责人：</w:t>
      </w:r>
    </w:p>
    <w:p w14:paraId="11116DCC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填报日期：</w:t>
      </w:r>
    </w:p>
    <w:p w14:paraId="742C3DDB">
      <w:pPr>
        <w:rPr>
          <w:rFonts w:hint="default"/>
          <w:lang w:val="en-US" w:eastAsia="zh-CN"/>
        </w:rPr>
      </w:pPr>
    </w:p>
    <w:p w14:paraId="3E13AA48">
      <w:pPr>
        <w:jc w:val="center"/>
      </w:pPr>
    </w:p>
    <w:p w14:paraId="18D41D41">
      <w:pPr>
        <w:jc w:val="center"/>
      </w:pPr>
    </w:p>
    <w:p w14:paraId="024441AE">
      <w:pPr>
        <w:jc w:val="center"/>
      </w:pPr>
    </w:p>
    <w:p w14:paraId="1FCCA463">
      <w:pPr>
        <w:jc w:val="center"/>
      </w:pPr>
    </w:p>
    <w:p w14:paraId="13898FAA">
      <w:pPr>
        <w:jc w:val="center"/>
      </w:pPr>
    </w:p>
    <w:p w14:paraId="71BBD90B">
      <w:pPr>
        <w:jc w:val="center"/>
      </w:pPr>
    </w:p>
    <w:p w14:paraId="6ECC1171">
      <w:pPr>
        <w:jc w:val="center"/>
      </w:pPr>
    </w:p>
    <w:p w14:paraId="4DA3F7EE">
      <w:pPr>
        <w:ind w:firstLine="600" w:firstLineChars="200"/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湖州学院教学质量监控与评估中心 制</w:t>
      </w:r>
    </w:p>
    <w:p w14:paraId="0796A5D2">
      <w:pPr>
        <w:ind w:firstLine="600" w:firstLineChars="200"/>
        <w:jc w:val="center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2025年9月</w:t>
      </w:r>
      <w:bookmarkStart w:id="20" w:name="_GoBack"/>
      <w:bookmarkEnd w:id="20"/>
    </w:p>
    <w:p w14:paraId="0116BBC8">
      <w:pPr>
        <w:jc w:val="center"/>
      </w:pPr>
    </w:p>
    <w:p w14:paraId="48A9B8BB">
      <w:pPr>
        <w:jc w:val="center"/>
      </w:pPr>
    </w:p>
    <w:p w14:paraId="51AE34FF"/>
    <w:p w14:paraId="5D2CC093">
      <w:pPr>
        <w:snapToGrid w:val="0"/>
        <w:spacing w:line="400" w:lineRule="exact"/>
        <w:rPr>
          <w:rFonts w:ascii="黑体" w:eastAsia="黑体" w:hAnsiTheme="minorEastAsia"/>
          <w:bCs/>
          <w:color w:val="000000"/>
          <w:sz w:val="32"/>
          <w:szCs w:val="32"/>
          <w:u w:color="000000"/>
        </w:rPr>
      </w:pPr>
      <w:r>
        <w:rPr>
          <w:rFonts w:hint="eastAsia" w:ascii="黑体" w:eastAsia="黑体" w:hAnsiTheme="minorEastAsia"/>
          <w:bCs/>
          <w:color w:val="000000"/>
          <w:sz w:val="32"/>
          <w:szCs w:val="32"/>
          <w:u w:color="000000"/>
        </w:rPr>
        <w:t>说明：</w:t>
      </w:r>
    </w:p>
    <w:p w14:paraId="28819494">
      <w:pPr>
        <w:numPr>
          <w:ilvl w:val="0"/>
          <w:numId w:val="1"/>
        </w:num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《课程评估自评报告》（以下简称《自评报告》）是对课程建设情况的全面总结，课程要以</w:t>
      </w:r>
      <w:r>
        <w:rPr>
          <w:rFonts w:hint="default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学生发展为中心，以产出为导向，关注学生学习成果和综合能力的培养，促进课程质量持续改进机制建设，提高课程建设对人才培养目标的支撑度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。</w:t>
      </w:r>
    </w:p>
    <w:p w14:paraId="3EC7E6EE">
      <w:pPr>
        <w:numPr>
          <w:ilvl w:val="0"/>
          <w:numId w:val="1"/>
        </w:num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参评课程对照《</w:t>
      </w:r>
      <w:r>
        <w:rPr>
          <w:rFonts w:hint="default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湖州学院本科课程评估标准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（试行）》（以下简称《课程评估标准》），对课程建设情况进行自我评估。要求围绕《课程评估标准》的6个一级指标撰写自评报告，二级指标和观测点可合并撰写。</w:t>
      </w:r>
    </w:p>
    <w:p w14:paraId="48FFD38F">
      <w:pPr>
        <w:numPr>
          <w:ilvl w:val="0"/>
          <w:numId w:val="1"/>
        </w:numPr>
        <w:snapToGrid w:val="0"/>
        <w:spacing w:line="440" w:lineRule="exact"/>
        <w:ind w:firstLine="480" w:firstLineChars="200"/>
        <w:rPr>
          <w:rFonts w:hint="default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《自评报告》要求格式规范，语言简洁精练、重点突出，建议多用数据、图表说话，字数控制在</w:t>
      </w:r>
      <w:r>
        <w:rPr>
          <w:rFonts w:hint="eastAsia" w:asciiTheme="minorEastAsia" w:hAnsiTheme="minorEastAsia" w:eastAsiaTheme="minorEastAsia"/>
          <w:b/>
          <w:bCs w:val="0"/>
          <w:color w:val="000000"/>
          <w:sz w:val="24"/>
          <w:u w:color="000000"/>
          <w:lang w:val="en-US" w:eastAsia="zh-CN"/>
        </w:rPr>
        <w:t>2000字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左右。</w:t>
      </w:r>
    </w:p>
    <w:p w14:paraId="6B158625">
      <w:pPr>
        <w:numPr>
          <w:ilvl w:val="0"/>
          <w:numId w:val="1"/>
        </w:num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格式要求：</w:t>
      </w:r>
    </w:p>
    <w:p w14:paraId="1C5D8992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（1）一级标题：黑体小三顶左，单倍行距。</w:t>
      </w:r>
    </w:p>
    <w:p w14:paraId="2BFABE8F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（2）二级标题：黑体四号顶左，单倍行距。</w:t>
      </w:r>
    </w:p>
    <w:p w14:paraId="23B375BA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）段落文字：宋体小四，两端对齐书写，段落首行左缩进2个汉字符。行距20磅。</w:t>
      </w:r>
    </w:p>
    <w:p w14:paraId="725E3AC8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）表格：表名置于表的上方，宋体五号居中，表格内文字为宋体，大小根据表的内容自行调整。</w:t>
      </w:r>
    </w:p>
    <w:p w14:paraId="556A285E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（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Cs/>
          <w:color w:val="000000"/>
          <w:sz w:val="24"/>
          <w:u w:color="000000"/>
        </w:rPr>
        <w:t>）图：图名置于图的下方，宋体五号居中，单倍行距。</w:t>
      </w:r>
    </w:p>
    <w:p w14:paraId="336051DD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95659C2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5A84759F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798ED169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0746A257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41738DE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699EA8E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170D5B1">
      <w:pPr>
        <w:snapToGrid w:val="0"/>
        <w:spacing w:line="440" w:lineRule="exact"/>
        <w:ind w:firstLine="480" w:firstLineChars="200"/>
        <w:rPr>
          <w:rFonts w:asciiTheme="minorEastAsia" w:hAnsiTheme="minorEastAsia" w:eastAsiaTheme="minorEastAsia"/>
          <w:bCs/>
          <w:color w:val="000000"/>
          <w:sz w:val="24"/>
          <w:u w:color="000000"/>
        </w:rPr>
      </w:pPr>
    </w:p>
    <w:p w14:paraId="479CDDE4">
      <w:pPr>
        <w:pStyle w:val="17"/>
        <w:spacing w:line="400" w:lineRule="exact"/>
        <w:rPr>
          <w:rFonts w:cstheme="minorBidi"/>
          <w:color w:val="auto"/>
        </w:rPr>
      </w:pPr>
    </w:p>
    <w:p w14:paraId="7968E847">
      <w:pPr>
        <w:pStyle w:val="17"/>
        <w:spacing w:line="400" w:lineRule="exact"/>
        <w:rPr>
          <w:rFonts w:cstheme="minorBidi"/>
          <w:color w:val="auto"/>
        </w:rPr>
      </w:pPr>
    </w:p>
    <w:p w14:paraId="3F753631">
      <w:pPr>
        <w:pStyle w:val="17"/>
        <w:spacing w:line="400" w:lineRule="exact"/>
        <w:rPr>
          <w:rFonts w:cstheme="minorBidi"/>
          <w:color w:val="auto"/>
        </w:rPr>
      </w:pPr>
    </w:p>
    <w:p w14:paraId="618BDD03">
      <w:pPr>
        <w:pStyle w:val="17"/>
        <w:spacing w:line="400" w:lineRule="exact"/>
        <w:rPr>
          <w:rFonts w:cstheme="minorBidi"/>
          <w:color w:val="auto"/>
        </w:rPr>
      </w:pPr>
    </w:p>
    <w:p w14:paraId="7681E6A0">
      <w:pPr>
        <w:pStyle w:val="17"/>
        <w:spacing w:line="400" w:lineRule="exact"/>
        <w:rPr>
          <w:rFonts w:cstheme="minorBidi"/>
          <w:color w:val="auto"/>
        </w:rPr>
      </w:pPr>
    </w:p>
    <w:p w14:paraId="61A77DD4">
      <w:pPr>
        <w:pStyle w:val="17"/>
        <w:spacing w:line="400" w:lineRule="exact"/>
        <w:rPr>
          <w:rFonts w:cstheme="minorBidi"/>
          <w:color w:val="auto"/>
        </w:rPr>
      </w:pPr>
    </w:p>
    <w:p w14:paraId="7F472094">
      <w:pPr>
        <w:pStyle w:val="17"/>
        <w:spacing w:line="400" w:lineRule="exact"/>
        <w:rPr>
          <w:rFonts w:cstheme="minorBidi"/>
          <w:color w:val="auto"/>
        </w:rPr>
      </w:pPr>
    </w:p>
    <w:p w14:paraId="230E1624"/>
    <w:p w14:paraId="5F8D452A">
      <w:pPr>
        <w:adjustRightInd w:val="0"/>
        <w:snapToGrid w:val="0"/>
        <w:spacing w:line="500" w:lineRule="exact"/>
        <w:jc w:val="center"/>
        <w:rPr>
          <w:rFonts w:eastAsia="方正大标宋简体"/>
          <w:bCs/>
          <w:kern w:val="0"/>
          <w:sz w:val="48"/>
          <w:szCs w:val="48"/>
        </w:rPr>
      </w:pPr>
      <w:r>
        <w:rPr>
          <w:rFonts w:eastAsia="方正大标宋简体"/>
          <w:bCs/>
          <w:kern w:val="0"/>
          <w:sz w:val="48"/>
          <w:szCs w:val="48"/>
        </w:rPr>
        <w:t>目     录</w:t>
      </w:r>
    </w:p>
    <w:p w14:paraId="3E354429"/>
    <w:p w14:paraId="38E37B83"/>
    <w:sdt>
      <w:sdt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  <w:id w:val="147477691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Times New Roman"/>
          <w:kern w:val="2"/>
          <w:sz w:val="21"/>
          <w:szCs w:val="24"/>
          <w:lang w:val="en-US" w:eastAsia="zh-CN" w:bidi="ar-SA"/>
        </w:rPr>
      </w:sdtEndPr>
      <w:sdtContent>
        <w:p w14:paraId="4DC119D8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 w14:paraId="6C428494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TOC \o "1-3" \h \u </w:instrText>
          </w:r>
          <w:r>
            <w:fldChar w:fldCharType="separate"/>
          </w:r>
          <w:r>
            <w:fldChar w:fldCharType="begin"/>
          </w:r>
          <w:r>
            <w:instrText xml:space="preserve"> HYPERLINK \l _Toc27945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1课程教学大纲评价</w:t>
          </w:r>
          <w:r>
            <w:tab/>
          </w:r>
          <w:r>
            <w:fldChar w:fldCharType="begin"/>
          </w:r>
          <w:r>
            <w:instrText xml:space="preserve"> PAGEREF _Toc27945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4FFA997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_Toc16087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1.1课程目标定位</w:t>
          </w:r>
          <w:r>
            <w:tab/>
          </w:r>
          <w:r>
            <w:fldChar w:fldCharType="begin"/>
          </w:r>
          <w:r>
            <w:instrText xml:space="preserve"> PAGEREF _Toc16087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972DBA6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_Toc7274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1.2教学内容高阶性、创新性和挑战度</w:t>
          </w:r>
          <w:r>
            <w:tab/>
          </w:r>
          <w:r>
            <w:fldChar w:fldCharType="begin"/>
          </w:r>
          <w:r>
            <w:instrText xml:space="preserve"> PAGEREF _Toc7274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A82A91B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_Toc17032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1.3教学设计与课程思政</w:t>
          </w:r>
          <w:r>
            <w:tab/>
          </w:r>
          <w:r>
            <w:fldChar w:fldCharType="begin"/>
          </w:r>
          <w:r>
            <w:instrText xml:space="preserve"> PAGEREF _Toc17032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5F9D0879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_Toc12189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2课程教学过程与改革成效评价</w:t>
          </w:r>
          <w:r>
            <w:tab/>
          </w:r>
          <w:r>
            <w:fldChar w:fldCharType="begin"/>
          </w:r>
          <w:r>
            <w:instrText xml:space="preserve"> PAGEREF _Toc12189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8E0E47B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_Toc13894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2.1教学方法与手段</w:t>
          </w:r>
          <w:r>
            <w:tab/>
          </w:r>
          <w:r>
            <w:fldChar w:fldCharType="begin"/>
          </w:r>
          <w:r>
            <w:instrText xml:space="preserve"> PAGEREF _Toc13894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410D17E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_Toc13313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2.2课堂教学评价</w:t>
          </w:r>
          <w:r>
            <w:tab/>
          </w:r>
          <w:r>
            <w:fldChar w:fldCharType="begin"/>
          </w:r>
          <w:r>
            <w:instrText xml:space="preserve"> PAGEREF _Toc13313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B9F4417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_Toc21339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2.3课程教学改革成效</w:t>
          </w:r>
          <w:r>
            <w:tab/>
          </w:r>
          <w:r>
            <w:fldChar w:fldCharType="begin"/>
          </w:r>
          <w:r>
            <w:instrText xml:space="preserve"> PAGEREF _Toc21339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126CBEEC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_Toc673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3课程考核与档案评价</w:t>
          </w:r>
          <w:r>
            <w:tab/>
          </w:r>
          <w:r>
            <w:fldChar w:fldCharType="begin"/>
          </w:r>
          <w:r>
            <w:instrText xml:space="preserve"> PAGEREF _Toc673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37B35F1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_Toc2048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3.1</w:t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课程考核模式</w:t>
          </w:r>
          <w:r>
            <w:tab/>
          </w:r>
          <w:r>
            <w:fldChar w:fldCharType="begin"/>
          </w:r>
          <w:r>
            <w:instrText xml:space="preserve"> PAGEREF _Toc2048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64CEDF9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_Toc19649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3.2</w:t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课程考核档案评价</w:t>
          </w:r>
          <w:r>
            <w:tab/>
          </w:r>
          <w:r>
            <w:fldChar w:fldCharType="begin"/>
          </w:r>
          <w:r>
            <w:instrText xml:space="preserve"> PAGEREF _Toc19649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6015E21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_Toc5270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3.3</w:t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课程目标达成情况</w:t>
          </w:r>
          <w:r>
            <w:tab/>
          </w:r>
          <w:r>
            <w:fldChar w:fldCharType="begin"/>
          </w:r>
          <w:r>
            <w:instrText xml:space="preserve"> PAGEREF _Toc5270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BEBEAFB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_Toc31935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4课程资源与支持条件评价</w:t>
          </w:r>
          <w:r>
            <w:tab/>
          </w:r>
          <w:r>
            <w:fldChar w:fldCharType="begin"/>
          </w:r>
          <w:r>
            <w:instrText xml:space="preserve"> PAGEREF _Toc31935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BCC7D5B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_Toc16250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4.1课程</w:t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教学团队</w:t>
          </w:r>
          <w:r>
            <w:tab/>
          </w:r>
          <w:r>
            <w:fldChar w:fldCharType="begin"/>
          </w:r>
          <w:r>
            <w:instrText xml:space="preserve"> PAGEREF _Toc16250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8F16162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_Toc5911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4.2“互联网+教育”的网络教学资源建设</w:t>
          </w:r>
          <w:r>
            <w:tab/>
          </w:r>
          <w:r>
            <w:fldChar w:fldCharType="begin"/>
          </w:r>
          <w:r>
            <w:instrText xml:space="preserve"> PAGEREF _Toc5911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E8BD369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_Toc15491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28"/>
              <w:lang w:val="en-US" w:eastAsia="zh-CN"/>
            </w:rPr>
            <w:t>4.3课内课外学习资源及学习支持</w:t>
          </w:r>
          <w:r>
            <w:tab/>
          </w:r>
          <w:r>
            <w:fldChar w:fldCharType="begin"/>
          </w:r>
          <w:r>
            <w:instrText xml:space="preserve"> PAGEREF _Toc15491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0B1EA2F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_Toc25704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5持续改进评价</w:t>
          </w:r>
          <w:r>
            <w:tab/>
          </w:r>
          <w:r>
            <w:fldChar w:fldCharType="begin"/>
          </w:r>
          <w:r>
            <w:instrText xml:space="preserve"> PAGEREF _Toc25704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5DE5A5D">
          <w:pPr>
            <w:pStyle w:val="10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_Toc3440 </w:instrText>
          </w:r>
          <w:r>
            <w:fldChar w:fldCharType="separate"/>
          </w:r>
          <w:r>
            <w:rPr>
              <w:rFonts w:hint="default" w:ascii="黑体" w:hAnsi="黑体" w:eastAsia="黑体" w:cs="黑体"/>
              <w:szCs w:val="28"/>
              <w:lang w:val="en-US" w:eastAsia="zh-CN"/>
            </w:rPr>
            <w:t>5.1质量自我评价机制及持续改进措施与效果</w:t>
          </w:r>
          <w:r>
            <w:tab/>
          </w:r>
          <w:r>
            <w:fldChar w:fldCharType="begin"/>
          </w:r>
          <w:r>
            <w:instrText xml:space="preserve"> PAGEREF _Toc3440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E1513E3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_Toc13476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6特色项目（自选）</w:t>
          </w:r>
          <w:r>
            <w:tab/>
          </w:r>
          <w:r>
            <w:fldChar w:fldCharType="begin"/>
          </w:r>
          <w:r>
            <w:instrText xml:space="preserve"> PAGEREF _Toc13476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B5325C6">
          <w:pPr>
            <w:pStyle w:val="9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_Toc2770 </w:instrText>
          </w:r>
          <w:r>
            <w:fldChar w:fldCharType="separate"/>
          </w:r>
          <w:r>
            <w:rPr>
              <w:rFonts w:hint="eastAsia" w:ascii="黑体" w:hAnsi="黑体" w:eastAsia="黑体" w:cs="黑体"/>
              <w:szCs w:val="30"/>
              <w:lang w:val="en-US" w:eastAsia="zh-CN"/>
            </w:rPr>
            <w:t>支撑材料目录</w:t>
          </w:r>
          <w:r>
            <w:tab/>
          </w:r>
          <w:r>
            <w:fldChar w:fldCharType="begin"/>
          </w:r>
          <w:r>
            <w:instrText xml:space="preserve"> PAGEREF _Toc2770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0DCEC68">
          <w:r>
            <w:fldChar w:fldCharType="end"/>
          </w:r>
        </w:p>
      </w:sdtContent>
    </w:sdt>
    <w:p w14:paraId="5230684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7F02B1D7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6C063B4F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289A7323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40CCFAD6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1C6EE4F8"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700C6C2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bookmarkStart w:id="0" w:name="_Toc27945"/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1课程教学大纲评价</w:t>
      </w:r>
      <w:bookmarkEnd w:id="0"/>
    </w:p>
    <w:p w14:paraId="25C3AE51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1" w:name="_Toc16087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1.1课程目标定位</w:t>
      </w:r>
      <w:bookmarkEnd w:id="1"/>
    </w:p>
    <w:p w14:paraId="00013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5E3CA1BA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2" w:name="_Toc7274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1.2教学内容高阶性、创新性和挑战度</w:t>
      </w:r>
      <w:bookmarkEnd w:id="2"/>
    </w:p>
    <w:p w14:paraId="58FC7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 w14:paraId="4053DA9D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3" w:name="_Toc17032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1.3教学设计与课程思政</w:t>
      </w:r>
      <w:bookmarkEnd w:id="3"/>
    </w:p>
    <w:p w14:paraId="7C468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 w14:paraId="451218E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bookmarkStart w:id="4" w:name="_Toc12189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2课程教学过程与改革成效评价</w:t>
      </w:r>
      <w:bookmarkEnd w:id="4"/>
    </w:p>
    <w:p w14:paraId="753F1D79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5" w:name="_Toc13894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2.1教学方法与手段</w:t>
      </w:r>
      <w:bookmarkEnd w:id="5"/>
    </w:p>
    <w:p w14:paraId="69A16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7DC8A57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6" w:name="_Toc13313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2.2课堂教学评价</w:t>
      </w:r>
      <w:bookmarkEnd w:id="6"/>
    </w:p>
    <w:p w14:paraId="57F2F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D97F0F8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7" w:name="_Toc21339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2.3课程教学改革成效</w:t>
      </w:r>
      <w:bookmarkEnd w:id="7"/>
    </w:p>
    <w:p w14:paraId="03454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0B32695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bookmarkStart w:id="8" w:name="_Toc673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3课程考核与档案评价</w:t>
      </w:r>
      <w:bookmarkEnd w:id="8"/>
    </w:p>
    <w:p w14:paraId="11651419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9" w:name="_Toc2048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3.1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课程考核模式</w:t>
      </w:r>
      <w:bookmarkEnd w:id="9"/>
    </w:p>
    <w:p w14:paraId="580C1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6B4138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0" w:name="_Toc19649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3.2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课程考核档案评价</w:t>
      </w:r>
      <w:bookmarkEnd w:id="10"/>
    </w:p>
    <w:p w14:paraId="5028A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0FB01AB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1" w:name="_Toc5270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3.3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课程目标达成情况</w:t>
      </w:r>
      <w:bookmarkEnd w:id="11"/>
    </w:p>
    <w:p w14:paraId="1A9D7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6A43A7C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bookmarkStart w:id="12" w:name="_Toc31935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4课程资源与支持条件评价</w:t>
      </w:r>
      <w:bookmarkEnd w:id="12"/>
    </w:p>
    <w:p w14:paraId="1A1553C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3" w:name="_Toc16250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4.1课程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教学团队</w:t>
      </w:r>
      <w:bookmarkEnd w:id="13"/>
    </w:p>
    <w:p w14:paraId="4AD10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200720D8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4" w:name="_Toc5911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4.2“互联网+教育”的网络教学资源建设</w:t>
      </w:r>
      <w:bookmarkEnd w:id="14"/>
    </w:p>
    <w:p w14:paraId="552C2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C951797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15" w:name="_Toc15491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4.3课内课外学习资源及学习支持</w:t>
      </w:r>
      <w:bookmarkEnd w:id="15"/>
    </w:p>
    <w:p w14:paraId="1B3AF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6A2CC63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bookmarkStart w:id="16" w:name="_Toc25704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5持续改进评价</w:t>
      </w:r>
      <w:bookmarkEnd w:id="16"/>
    </w:p>
    <w:p w14:paraId="127ED3E8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28"/>
          <w:szCs w:val="28"/>
          <w:lang w:val="en-US" w:eastAsia="zh-CN"/>
        </w:rPr>
      </w:pPr>
      <w:bookmarkStart w:id="17" w:name="_Toc3440"/>
      <w:r>
        <w:rPr>
          <w:rFonts w:hint="default" w:ascii="黑体" w:hAnsi="黑体" w:eastAsia="黑体" w:cs="黑体"/>
          <w:b/>
          <w:sz w:val="28"/>
          <w:szCs w:val="28"/>
          <w:lang w:val="en-US" w:eastAsia="zh-CN"/>
        </w:rPr>
        <w:t>5.1质量自我评价机制及持续改进措施与效果</w:t>
      </w:r>
      <w:bookmarkEnd w:id="17"/>
    </w:p>
    <w:p w14:paraId="3F9EE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1B542B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bookmarkStart w:id="18" w:name="_Toc13476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6特色项目（自选）</w:t>
      </w:r>
      <w:bookmarkEnd w:id="18"/>
    </w:p>
    <w:p w14:paraId="2B29D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5FB13702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240" w:lineRule="auto"/>
        <w:textAlignment w:val="auto"/>
        <w:rPr>
          <w:rFonts w:hint="default" w:ascii="黑体" w:hAnsi="黑体" w:eastAsia="黑体" w:cs="黑体"/>
          <w:b/>
          <w:sz w:val="30"/>
          <w:szCs w:val="30"/>
          <w:lang w:val="en-US" w:eastAsia="zh-CN"/>
        </w:rPr>
      </w:pPr>
      <w:bookmarkStart w:id="19" w:name="_Toc2770"/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支撑材料目录</w:t>
      </w:r>
      <w:bookmarkEnd w:id="19"/>
    </w:p>
    <w:p w14:paraId="3377BA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课程教学大纲、教案、授课计划</w:t>
      </w:r>
    </w:p>
    <w:p w14:paraId="5688A47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课程资源利用情况（选择性提供）</w:t>
      </w:r>
    </w:p>
    <w:p w14:paraId="7DA1A58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eastAsia="宋体" w:cs="Times New Roman"/>
          <w:sz w:val="24"/>
          <w:szCs w:val="24"/>
          <w:lang w:val="en-US" w:eastAsia="zh-CN"/>
        </w:rPr>
      </w:pPr>
      <w:r>
        <w:rPr>
          <w:rFonts w:hint="eastAsia" w:eastAsia="宋体" w:cs="Times New Roman"/>
          <w:sz w:val="24"/>
          <w:szCs w:val="24"/>
          <w:lang w:val="en-US" w:eastAsia="zh-CN"/>
        </w:rPr>
        <w:t>其他反映课程建设情况的材料（选择性提供）</w:t>
      </w:r>
    </w:p>
    <w:p w14:paraId="54F92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4BA6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42F013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42F013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52156B"/>
    <w:multiLevelType w:val="singleLevel"/>
    <w:tmpl w:val="8B5215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B70B839"/>
    <w:multiLevelType w:val="singleLevel"/>
    <w:tmpl w:val="DB70B8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NDY2ZTA0MDNmZjc4NDQzMGY2ODZlYWNjMjQ2ZmIifQ=="/>
  </w:docVars>
  <w:rsids>
    <w:rsidRoot w:val="00B3530E"/>
    <w:rsid w:val="000A17A2"/>
    <w:rsid w:val="001D54D4"/>
    <w:rsid w:val="001E76D9"/>
    <w:rsid w:val="001F68A9"/>
    <w:rsid w:val="00262FCB"/>
    <w:rsid w:val="00275E15"/>
    <w:rsid w:val="004F7BD8"/>
    <w:rsid w:val="0072752E"/>
    <w:rsid w:val="00785F75"/>
    <w:rsid w:val="008941DC"/>
    <w:rsid w:val="00955D1A"/>
    <w:rsid w:val="00A547EC"/>
    <w:rsid w:val="00A663FF"/>
    <w:rsid w:val="00B1456E"/>
    <w:rsid w:val="00B3530E"/>
    <w:rsid w:val="00BB70D5"/>
    <w:rsid w:val="00C64A1B"/>
    <w:rsid w:val="028D1562"/>
    <w:rsid w:val="039E0ED1"/>
    <w:rsid w:val="08144141"/>
    <w:rsid w:val="09644C54"/>
    <w:rsid w:val="0AA277E2"/>
    <w:rsid w:val="0B8D0492"/>
    <w:rsid w:val="0FFF1232"/>
    <w:rsid w:val="10E723F2"/>
    <w:rsid w:val="12486EC1"/>
    <w:rsid w:val="1855203D"/>
    <w:rsid w:val="190855FC"/>
    <w:rsid w:val="1ADD6614"/>
    <w:rsid w:val="1EF92BA8"/>
    <w:rsid w:val="20073B24"/>
    <w:rsid w:val="21463165"/>
    <w:rsid w:val="25152983"/>
    <w:rsid w:val="260D551F"/>
    <w:rsid w:val="28757F14"/>
    <w:rsid w:val="29D074C1"/>
    <w:rsid w:val="2F0D661F"/>
    <w:rsid w:val="301D1535"/>
    <w:rsid w:val="3B455DE4"/>
    <w:rsid w:val="423B3A9C"/>
    <w:rsid w:val="42CF12DF"/>
    <w:rsid w:val="438902EA"/>
    <w:rsid w:val="44D501D8"/>
    <w:rsid w:val="47AD5DB0"/>
    <w:rsid w:val="49401656"/>
    <w:rsid w:val="4C3055AB"/>
    <w:rsid w:val="4FBF7ABB"/>
    <w:rsid w:val="519311FF"/>
    <w:rsid w:val="52344624"/>
    <w:rsid w:val="54DE6C35"/>
    <w:rsid w:val="55326F81"/>
    <w:rsid w:val="59BF0E0D"/>
    <w:rsid w:val="5AA4622B"/>
    <w:rsid w:val="5C481A01"/>
    <w:rsid w:val="5C675762"/>
    <w:rsid w:val="61BF3E8D"/>
    <w:rsid w:val="63A252D2"/>
    <w:rsid w:val="64122457"/>
    <w:rsid w:val="65165479"/>
    <w:rsid w:val="661F3314"/>
    <w:rsid w:val="672A3F31"/>
    <w:rsid w:val="6DE85FD7"/>
    <w:rsid w:val="70170ED1"/>
    <w:rsid w:val="74FF4332"/>
    <w:rsid w:val="75BC0475"/>
    <w:rsid w:val="77F45B3E"/>
    <w:rsid w:val="7940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6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paragraph" w:styleId="10">
    <w:name w:val="toc 2"/>
    <w:basedOn w:val="1"/>
    <w:next w:val="1"/>
    <w:semiHidden/>
    <w:unhideWhenUsed/>
    <w:qFormat/>
    <w:uiPriority w:val="39"/>
    <w:pPr>
      <w:ind w:left="420" w:leftChars="200"/>
    </w:pPr>
  </w:style>
  <w:style w:type="character" w:customStyle="1" w:styleId="13">
    <w:name w:val="页眉 Char"/>
    <w:basedOn w:val="12"/>
    <w:link w:val="8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7"/>
    <w:semiHidden/>
    <w:qFormat/>
    <w:uiPriority w:val="99"/>
    <w:rPr>
      <w:sz w:val="18"/>
      <w:szCs w:val="18"/>
    </w:rPr>
  </w:style>
  <w:style w:type="character" w:customStyle="1" w:styleId="15">
    <w:name w:val="批注框文本 Char"/>
    <w:basedOn w:val="12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944</Words>
  <Characters>1003</Characters>
  <Lines>5</Lines>
  <Paragraphs>1</Paragraphs>
  <TotalTime>3</TotalTime>
  <ScaleCrop>false</ScaleCrop>
  <LinksUpToDate>false</LinksUpToDate>
  <CharactersWithSpaces>1069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2018-07-04T09:26:00Z</dcterms:created>
  <dc:creator>PCSY</dc:creator>
  <cp:lastModifiedBy>Oliver Li</cp:lastModifiedBy>
  <cp:lastPrinted>2025-01-15T02:47:00Z</cp:lastPrinted>
  <dcterms:modified xsi:type="dcterms:W3CDTF">2025-09-18T06:14:28Z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1911D34DFBE447BBAC72D784530AFE18_13</vt:lpwstr>
  </property>
  <property fmtid="{D5CDD505-2E9C-101B-9397-08002B2CF9AE}" pid="4" name="KSOTemplateDocerSaveRecord">
    <vt:lpwstr>eyJoZGlkIjoiZmUzODIzMmMyMGM1NzA3YjM1ZWNiNWYzM2YzMjU3YTciLCJ1c2VySWQiOiIzNDk5MjQ0ODUifQ==</vt:lpwstr>
  </property>
</Properties>
</file>